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 xml:space="preserve">meet at least one of the listed </w:t>
            </w:r>
            <w:proofErr w:type="gramStart"/>
            <w:r w:rsidRPr="00177BB1">
              <w:rPr>
                <w:rFonts w:cs="Arial"/>
              </w:rPr>
              <w:t>qualification</w:t>
            </w:r>
            <w:proofErr w:type="gramEnd"/>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3DB0F83E"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2A263F">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6F7FD3E5" w:rsidR="00D96133" w:rsidRPr="002A263F" w:rsidRDefault="00D96133" w:rsidP="00D96133">
            <w:pPr>
              <w:ind w:left="113" w:right="113"/>
            </w:pPr>
            <w:r w:rsidRPr="002A263F">
              <w:t>ward of the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AE9FB08" w:rsidR="00D96133" w:rsidRPr="00BC5FB3" w:rsidRDefault="00D96133" w:rsidP="00D96133">
            <w:pPr>
              <w:ind w:left="113" w:right="113"/>
            </w:pPr>
            <w:r w:rsidRPr="00BC5FB3">
              <w:t>parish of</w:t>
            </w:r>
          </w:p>
          <w:p w14:paraId="36D5EE09" w14:textId="534BE2B7" w:rsidR="00D96133" w:rsidRPr="00D96133" w:rsidRDefault="00D96133" w:rsidP="00D96133">
            <w:pPr>
              <w:ind w:left="113" w:right="113"/>
              <w:rPr>
                <w:vertAlign w:val="superscript"/>
              </w:rPr>
            </w:pP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43660AC8" w:rsidR="00D96133" w:rsidRPr="00D96133" w:rsidRDefault="002A263F" w:rsidP="00960FEF">
            <w:pPr>
              <w:ind w:left="113" w:right="113"/>
              <w:rPr>
                <w:rFonts w:cs="Arial"/>
                <w:vertAlign w:val="superscript"/>
              </w:rPr>
            </w:pPr>
            <w:r>
              <w:t>Horsham</w:t>
            </w: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125AD2B3" w:rsidR="00D96133" w:rsidRPr="00D96133" w:rsidRDefault="002A263F" w:rsidP="00D96133">
            <w:pPr>
              <w:ind w:left="113" w:right="113"/>
            </w:pPr>
            <w:r>
              <w:t>7 May 2026</w:t>
            </w: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t>
            </w:r>
            <w:r w:rsidRPr="002A263F">
              <w:t>ward</w:t>
            </w:r>
            <w:r w:rsidRPr="00177BB1">
              <w:t>/</w:t>
            </w:r>
            <w:r w:rsidRPr="002A263F">
              <w:rPr>
                <w:strike/>
              </w:rPr>
              <w:t>parish</w:t>
            </w:r>
            <w:r w:rsidRPr="00177BB1">
              <w:t xml:space="preserve">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59073ACB"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2A263F">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34276351" w:rsidR="00F375A5" w:rsidRPr="002A263F" w:rsidRDefault="00F375A5" w:rsidP="00F375A5">
            <w:pPr>
              <w:ind w:left="113" w:right="113"/>
            </w:pPr>
            <w:r w:rsidRPr="002A263F">
              <w:t>ward of the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074D2B76" w:rsidR="00F375A5" w:rsidRPr="00D96133" w:rsidRDefault="00F375A5" w:rsidP="00960FEF">
            <w:pPr>
              <w:ind w:right="113"/>
              <w:rPr>
                <w:vertAlign w:val="superscript"/>
              </w:rPr>
            </w:pPr>
          </w:p>
        </w:tc>
        <w:tc>
          <w:tcPr>
            <w:tcW w:w="5665" w:type="dxa"/>
            <w:gridSpan w:val="6"/>
            <w:shd w:val="clear" w:color="auto" w:fill="auto"/>
          </w:tcPr>
          <w:p w14:paraId="5B08B5D1" w14:textId="07B86CF5" w:rsidR="00F375A5" w:rsidRPr="00D96133" w:rsidRDefault="002A263F" w:rsidP="002A263F">
            <w:pPr>
              <w:keepLines/>
              <w:spacing w:before="60" w:after="60"/>
              <w:rPr>
                <w:noProof/>
              </w:rPr>
            </w:pPr>
            <w:r>
              <w:t xml:space="preserve"> Horsham</w:t>
            </w: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752AC03B" w:rsidR="00F375A5" w:rsidRPr="00D96133" w:rsidRDefault="002A263F" w:rsidP="00F375A5">
            <w:pPr>
              <w:ind w:left="113" w:right="113"/>
            </w:pPr>
            <w:r>
              <w:t>7 May 2026</w:t>
            </w: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 xml:space="preserve">*You must declare that you meet at least one of the listed </w:t>
            </w:r>
            <w:proofErr w:type="gramStart"/>
            <w:r w:rsidRPr="00424416">
              <w:rPr>
                <w:rFonts w:cs="Arial"/>
                <w:sz w:val="20"/>
                <w:szCs w:val="20"/>
                <w:lang w:eastAsia="en-GB"/>
              </w:rPr>
              <w:t>qualification</w:t>
            </w:r>
            <w:proofErr w:type="gramEnd"/>
            <w:r w:rsidRPr="00424416">
              <w:rPr>
                <w:rFonts w:cs="Arial"/>
                <w:sz w:val="20"/>
                <w:szCs w:val="20"/>
                <w:lang w:eastAsia="en-GB"/>
              </w:rPr>
              <w:t>(s)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6ED0831E" w:rsidR="00DB4D5C" w:rsidRPr="008F6CCB" w:rsidRDefault="002A263F" w:rsidP="00DF2E08">
            <w:pPr>
              <w:rPr>
                <w:rFonts w:cs="Arial"/>
                <w:lang w:eastAsia="en-GB"/>
              </w:rPr>
            </w:pPr>
            <w:r>
              <w:rPr>
                <w:rFonts w:cs="Arial"/>
                <w:lang w:eastAsia="en-GB"/>
              </w:rPr>
              <w:t>7 May 2026</w:t>
            </w: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2A263F">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08438BA1" w:rsidR="00DB4D5C" w:rsidRPr="00960FEF" w:rsidRDefault="002A263F" w:rsidP="00DF2E08">
            <w:pPr>
              <w:ind w:left="143"/>
              <w:rPr>
                <w:rFonts w:cs="Arial"/>
                <w:strike/>
                <w:lang w:eastAsia="en-GB"/>
              </w:rPr>
            </w:pPr>
            <w:r w:rsidRPr="002A263F">
              <w:t>ward of the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5967447F"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2F78B459" w:rsidR="00DF2E08" w:rsidRPr="008F6CCB" w:rsidRDefault="002A263F" w:rsidP="00960FEF">
            <w:pPr>
              <w:rPr>
                <w:rFonts w:cs="Arial"/>
                <w:lang w:eastAsia="en-GB"/>
              </w:rPr>
            </w:pPr>
            <w:r>
              <w:t>Horsham</w:t>
            </w: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w:t>
      </w:r>
      <w:proofErr w:type="gramStart"/>
      <w:r w:rsidRPr="00177BB1">
        <w:t>Mayor</w:t>
      </w:r>
      <w:proofErr w:type="gramEnd"/>
      <w:r w:rsidRPr="00177BB1">
        <w:t xml:space="preserve">,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w:t>
      </w:r>
      <w:proofErr w:type="gramStart"/>
      <w:r w:rsidRPr="006F77F9">
        <w:rPr>
          <w:rFonts w:cs="Arial"/>
          <w:szCs w:val="22"/>
        </w:rPr>
        <w:t>"  means</w:t>
      </w:r>
      <w:proofErr w:type="gramEnd"/>
      <w:r w:rsidRPr="006F77F9">
        <w:rPr>
          <w:rFonts w:cs="Arial"/>
          <w:szCs w:val="22"/>
        </w:rPr>
        <w:t>—</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the notification requirements of Part 2 of the Sexual Offences Act </w:t>
      </w:r>
      <w:proofErr w:type="gramStart"/>
      <w:r w:rsidRPr="006F77F9">
        <w:rPr>
          <w:rFonts w:cs="Arial"/>
          <w:szCs w:val="22"/>
        </w:rPr>
        <w:t>2003;</w:t>
      </w:r>
      <w:proofErr w:type="gramEnd"/>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the notification requirements of Part 2 of the Sex Offenders (Jersey) Law </w:t>
      </w:r>
      <w:proofErr w:type="gramStart"/>
      <w:r w:rsidRPr="006F77F9">
        <w:rPr>
          <w:rFonts w:cs="Arial"/>
          <w:szCs w:val="22"/>
        </w:rPr>
        <w:t>2010;</w:t>
      </w:r>
      <w:proofErr w:type="gramEnd"/>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the notification requirements of Part 2 of the Criminal Justice (Sex Offenders and Miscellaneous Provisions) (Bailiwick of Guernsey) Law </w:t>
      </w:r>
      <w:proofErr w:type="gramStart"/>
      <w:r w:rsidRPr="006F77F9">
        <w:rPr>
          <w:rFonts w:cs="Arial"/>
          <w:szCs w:val="22"/>
        </w:rPr>
        <w:t>2013;</w:t>
      </w:r>
      <w:proofErr w:type="gramEnd"/>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w:t>
      </w:r>
      <w:proofErr w:type="gramStart"/>
      <w:r w:rsidRPr="006F77F9">
        <w:rPr>
          <w:rFonts w:cs="Arial"/>
          <w:szCs w:val="22"/>
        </w:rPr>
        <w:t>"  means</w:t>
      </w:r>
      <w:proofErr w:type="gramEnd"/>
      <w:r w:rsidRPr="006F77F9">
        <w:rPr>
          <w:rFonts w:cs="Arial"/>
          <w:szCs w:val="22"/>
        </w:rPr>
        <w:t>—</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a sexual harm prevention order under section 345 of the Sentencing </w:t>
      </w:r>
      <w:proofErr w:type="gramStart"/>
      <w:r w:rsidRPr="006F77F9">
        <w:rPr>
          <w:rFonts w:cs="Arial"/>
          <w:szCs w:val="22"/>
        </w:rPr>
        <w:t>Code;</w:t>
      </w:r>
      <w:proofErr w:type="gramEnd"/>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a sexual harm prevention order under section 103A of the Sexual Offences Act </w:t>
      </w:r>
      <w:proofErr w:type="gramStart"/>
      <w:r w:rsidRPr="006F77F9">
        <w:rPr>
          <w:rFonts w:cs="Arial"/>
          <w:szCs w:val="22"/>
        </w:rPr>
        <w:t>2003;</w:t>
      </w:r>
      <w:proofErr w:type="gramEnd"/>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a sexual offences prevention order under section 104 of that </w:t>
      </w:r>
      <w:proofErr w:type="gramStart"/>
      <w:r w:rsidRPr="006F77F9">
        <w:rPr>
          <w:rFonts w:cs="Arial"/>
          <w:szCs w:val="22"/>
        </w:rPr>
        <w:t>Act;</w:t>
      </w:r>
      <w:proofErr w:type="gramEnd"/>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(d)  a sexual risk order under section 122A of that </w:t>
      </w:r>
      <w:proofErr w:type="gramStart"/>
      <w:r w:rsidRPr="006F77F9">
        <w:rPr>
          <w:rFonts w:cs="Arial"/>
          <w:szCs w:val="22"/>
        </w:rPr>
        <w:t>Act;</w:t>
      </w:r>
      <w:proofErr w:type="gramEnd"/>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w:t>
      </w:r>
      <w:proofErr w:type="gramStart"/>
      <w:r w:rsidRPr="006F77F9">
        <w:rPr>
          <w:rFonts w:cs="Arial"/>
          <w:szCs w:val="22"/>
        </w:rPr>
        <w:t>Act;</w:t>
      </w:r>
      <w:proofErr w:type="gramEnd"/>
      <w:r w:rsidRPr="006F77F9">
        <w:rPr>
          <w:rFonts w:cs="Arial"/>
          <w:szCs w:val="22"/>
        </w:rPr>
        <w:t xml:space="preserve">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(f)  a risk of sexual harm order under section 2 of the Protection of Children and Prevention of Sexual Offences (Scotland) Act </w:t>
      </w:r>
      <w:proofErr w:type="gramStart"/>
      <w:r w:rsidRPr="006F77F9">
        <w:rPr>
          <w:rFonts w:cs="Arial"/>
          <w:szCs w:val="22"/>
        </w:rPr>
        <w:t>2005;</w:t>
      </w:r>
      <w:proofErr w:type="gramEnd"/>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(g)  a sexual risk order under section 27 of the Abusive Behaviour and Sexual Harm (Scotland) Act </w:t>
      </w:r>
      <w:proofErr w:type="gramStart"/>
      <w:r w:rsidRPr="006F77F9">
        <w:rPr>
          <w:rFonts w:ascii="Arial" w:hAnsi="Arial" w:cs="Arial"/>
          <w:b w:val="0"/>
          <w:sz w:val="24"/>
          <w:szCs w:val="22"/>
        </w:rPr>
        <w:t>2016;</w:t>
      </w:r>
      <w:proofErr w:type="gramEnd"/>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(h)  a restraining order under Article 10 of the Sex Offenders (Jersey) Law </w:t>
      </w:r>
      <w:proofErr w:type="gramStart"/>
      <w:r w:rsidRPr="006F77F9">
        <w:rPr>
          <w:rFonts w:ascii="Arial" w:hAnsi="Arial" w:cs="Arial"/>
          <w:b w:val="0"/>
          <w:sz w:val="24"/>
          <w:szCs w:val="22"/>
        </w:rPr>
        <w:t>2010;</w:t>
      </w:r>
      <w:proofErr w:type="gramEnd"/>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xml:space="preserve">)  a child protection order under Article 11 of that </w:t>
      </w:r>
      <w:proofErr w:type="gramStart"/>
      <w:r w:rsidRPr="006F77F9">
        <w:rPr>
          <w:rFonts w:ascii="Arial" w:hAnsi="Arial" w:cs="Arial"/>
          <w:b w:val="0"/>
          <w:sz w:val="24"/>
          <w:szCs w:val="22"/>
        </w:rPr>
        <w:t>Law;</w:t>
      </w:r>
      <w:proofErr w:type="gramEnd"/>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(j)  a sexual offences prevention order under section 18 of the Criminal Justice (Sex Offenders and Miscellaneous Provisions) (Bailiwick of Guernsey) Law </w:t>
      </w:r>
      <w:proofErr w:type="gramStart"/>
      <w:r w:rsidRPr="006F77F9">
        <w:rPr>
          <w:rFonts w:ascii="Arial" w:hAnsi="Arial" w:cs="Arial"/>
          <w:b w:val="0"/>
          <w:sz w:val="24"/>
          <w:szCs w:val="22"/>
        </w:rPr>
        <w:t>2013;</w:t>
      </w:r>
      <w:proofErr w:type="gramEnd"/>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(k)  a risk of sexual harm order under section 22 of that </w:t>
      </w:r>
      <w:proofErr w:type="gramStart"/>
      <w:r w:rsidRPr="006F77F9">
        <w:rPr>
          <w:rFonts w:ascii="Arial" w:hAnsi="Arial" w:cs="Arial"/>
          <w:b w:val="0"/>
          <w:sz w:val="24"/>
          <w:szCs w:val="22"/>
        </w:rPr>
        <w:t>Law;</w:t>
      </w:r>
      <w:proofErr w:type="gramEnd"/>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roofErr w:type="gramStart"/>
      <w:r w:rsidRPr="006F77F9">
        <w:rPr>
          <w:rFonts w:ascii="Arial" w:hAnsi="Arial" w:cs="Arial"/>
          <w:b w:val="0"/>
          <w:sz w:val="24"/>
          <w:szCs w:val="22"/>
        </w:rPr>
        <w:t>);</w:t>
      </w:r>
      <w:proofErr w:type="gramEnd"/>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 xml:space="preserve">(10) In section 86(1)(b) (authority to declare vacancy where member becomes disqualified otherwise than in certain cases) after </w:t>
      </w:r>
      <w:proofErr w:type="gramStart"/>
      <w:r w:rsidRPr="003E7098">
        <w:rPr>
          <w:sz w:val="24"/>
          <w:szCs w:val="24"/>
        </w:rPr>
        <w:t>“ 2000</w:t>
      </w:r>
      <w:proofErr w:type="gramEnd"/>
      <w:r w:rsidRPr="003E7098">
        <w:rPr>
          <w:sz w:val="24"/>
          <w:szCs w:val="24"/>
        </w:rPr>
        <w:t xml:space="preserve">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(11) In section 87(</w:t>
      </w:r>
      <w:proofErr w:type="gramStart"/>
      <w:r w:rsidRPr="003E7098">
        <w:rPr>
          <w:sz w:val="24"/>
          <w:szCs w:val="24"/>
        </w:rPr>
        <w:t>1)(</w:t>
      </w:r>
      <w:proofErr w:type="gramEnd"/>
      <w:r w:rsidRPr="003E7098">
        <w:rPr>
          <w:sz w:val="24"/>
          <w:szCs w:val="24"/>
        </w:rPr>
        <w:t xml:space="preserve">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w:t>
      </w:r>
      <w:proofErr w:type="gramStart"/>
      <w:r w:rsidRPr="003E7098">
        <w:rPr>
          <w:sz w:val="24"/>
          <w:szCs w:val="24"/>
        </w:rPr>
        <w:t>“ or</w:t>
      </w:r>
      <w:proofErr w:type="gramEnd"/>
      <w:r w:rsidRPr="003E7098">
        <w:rPr>
          <w:sz w:val="24"/>
          <w:szCs w:val="24"/>
        </w:rPr>
        <w:t xml:space="preserve">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w:t>
      </w:r>
      <w:proofErr w:type="gramStart"/>
      <w:r w:rsidRPr="003E7098">
        <w:rPr>
          <w:sz w:val="24"/>
          <w:szCs w:val="24"/>
        </w:rPr>
        <w:t>“ or</w:t>
      </w:r>
      <w:proofErr w:type="gramEnd"/>
      <w:r w:rsidRPr="003E7098">
        <w:rPr>
          <w:sz w:val="24"/>
          <w:szCs w:val="24"/>
        </w:rPr>
        <w:t xml:space="preserve">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w:t>
      </w:r>
      <w:proofErr w:type="gramStart"/>
      <w:r w:rsidRPr="003E7098">
        <w:rPr>
          <w:sz w:val="24"/>
          <w:szCs w:val="24"/>
        </w:rPr>
        <w:t>“ or</w:t>
      </w:r>
      <w:proofErr w:type="gramEnd"/>
      <w:r w:rsidRPr="003E7098">
        <w:rPr>
          <w:sz w:val="24"/>
          <w:szCs w:val="24"/>
        </w:rPr>
        <w:t xml:space="preserve">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w:t>
      </w:r>
      <w:proofErr w:type="gramStart"/>
      <w:r w:rsidR="00B4415E" w:rsidRPr="003E7098">
        <w:rPr>
          <w:sz w:val="24"/>
          <w:szCs w:val="24"/>
        </w:rPr>
        <w:t>“ of</w:t>
      </w:r>
      <w:proofErr w:type="gramEnd"/>
      <w:r w:rsidR="00B4415E" w:rsidRPr="003E7098">
        <w:rPr>
          <w:sz w:val="24"/>
          <w:szCs w:val="24"/>
        </w:rPr>
        <w:t xml:space="preserve">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1)This</w:t>
      </w:r>
      <w:proofErr w:type="gramEnd"/>
      <w:r w:rsidRPr="00497649">
        <w:rPr>
          <w:rFonts w:cs="Arial"/>
          <w:color w:val="1E1E1E"/>
          <w:lang w:eastAsia="en-GB"/>
        </w:rPr>
        <w:t xml:space="preserve">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2)The</w:t>
      </w:r>
      <w:proofErr w:type="gramEnd"/>
      <w:r w:rsidRPr="00497649">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3)Subsection</w:t>
      </w:r>
      <w:proofErr w:type="gramEnd"/>
      <w:r w:rsidRPr="00497649">
        <w:rPr>
          <w:rFonts w:cs="Arial"/>
          <w:color w:val="1E1E1E"/>
          <w:lang w:eastAsia="en-GB"/>
        </w:rPr>
        <w:t>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4)For</w:t>
      </w:r>
      <w:proofErr w:type="gramEnd"/>
      <w:r w:rsidRPr="00497649">
        <w:rPr>
          <w:rFonts w:cs="Arial"/>
          <w:color w:val="1E1E1E"/>
          <w:lang w:eastAsia="en-GB"/>
        </w:rPr>
        <w:t xml:space="preserve">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5)For</w:t>
      </w:r>
      <w:proofErr w:type="gramEnd"/>
      <w:r w:rsidRPr="00497649">
        <w:rPr>
          <w:rFonts w:cs="Arial"/>
          <w:color w:val="1E1E1E"/>
          <w:lang w:eastAsia="en-GB"/>
        </w:rPr>
        <w:t xml:space="preserve">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6)For</w:t>
      </w:r>
      <w:proofErr w:type="gramEnd"/>
      <w:r w:rsidRPr="00497649">
        <w:rPr>
          <w:rFonts w:cs="Arial"/>
          <w:color w:val="1E1E1E"/>
          <w:lang w:eastAsia="en-GB"/>
        </w:rPr>
        <w:t xml:space="preserve">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7)It</w:t>
      </w:r>
      <w:proofErr w:type="gramEnd"/>
      <w:r w:rsidRPr="00497649">
        <w:rPr>
          <w:rFonts w:cs="Arial"/>
          <w:color w:val="1E1E1E"/>
          <w:lang w:eastAsia="en-GB"/>
        </w:rPr>
        <w:t xml:space="preserve">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8)Where</w:t>
      </w:r>
      <w:proofErr w:type="gramEnd"/>
      <w:r w:rsidRPr="00497649">
        <w:rPr>
          <w:rFonts w:cs="Arial"/>
          <w:color w:val="1E1E1E"/>
          <w:lang w:eastAsia="en-GB"/>
        </w:rPr>
        <w:t xml:space="preserv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w:t>
      </w:r>
      <w:proofErr w:type="gramStart"/>
      <w:r w:rsidRPr="00497649">
        <w:rPr>
          <w:rFonts w:cs="Arial"/>
          <w:color w:val="1E1E1E"/>
          <w:lang w:eastAsia="en-GB"/>
        </w:rPr>
        <w:t>9)In</w:t>
      </w:r>
      <w:proofErr w:type="gramEnd"/>
      <w:r w:rsidRPr="00497649">
        <w:rPr>
          <w:rFonts w:cs="Arial"/>
          <w:color w:val="1E1E1E"/>
          <w:lang w:eastAsia="en-GB"/>
        </w:rPr>
        <w:t xml:space="preserve">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 xml:space="preserve">“presumed” means presumed by the </w:t>
      </w:r>
      <w:proofErr w:type="gramStart"/>
      <w:r w:rsidRPr="00497649">
        <w:rPr>
          <w:rFonts w:cs="Arial"/>
          <w:color w:val="1E1E1E"/>
          <w:lang w:eastAsia="en-GB"/>
        </w:rPr>
        <w:t>offender;</w:t>
      </w:r>
      <w:proofErr w:type="gramEnd"/>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5650A218" w:rsidR="00B17F00" w:rsidRPr="00177BB1" w:rsidRDefault="002A263F" w:rsidP="00B17F00">
            <w:pPr>
              <w:pStyle w:val="TextInTables"/>
              <w:framePr w:hSpace="0" w:wrap="auto" w:vAnchor="margin" w:hAnchor="text" w:xAlign="left" w:yAlign="inline"/>
              <w:rPr>
                <w:rStyle w:val="HighlightBlack"/>
                <w:b w:val="0"/>
              </w:rPr>
            </w:pPr>
            <w:r w:rsidRPr="002A263F">
              <w:rPr>
                <w:rStyle w:val="HighlightBlack"/>
                <w:b w:val="0"/>
              </w:rPr>
              <w:t>Ward and</w:t>
            </w:r>
            <w:r>
              <w:rPr>
                <w:rStyle w:val="HighlightBlack"/>
              </w:rPr>
              <w:t xml:space="preserve"> </w:t>
            </w:r>
            <w:r w:rsidR="00960FEF">
              <w:rPr>
                <w:rStyle w:val="HighlightBlack"/>
                <w:b w:val="0"/>
              </w:rPr>
              <w:t>P</w:t>
            </w:r>
            <w:r w:rsidR="00B17F00" w:rsidRPr="00177BB1">
              <w:rPr>
                <w:rStyle w:val="HighlightBlack"/>
                <w:b w:val="0"/>
              </w:rPr>
              <w:t>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D1666B0" w14:textId="77777777" w:rsidR="002A263F" w:rsidRDefault="002A263F" w:rsidP="002A263F">
            <w:pPr>
              <w:pBdr>
                <w:bottom w:val="single" w:sz="12" w:space="1" w:color="auto"/>
              </w:pBdr>
              <w:tabs>
                <w:tab w:val="left" w:pos="0"/>
                <w:tab w:val="left" w:pos="566"/>
              </w:tabs>
              <w:spacing w:line="360" w:lineRule="auto"/>
              <w:ind w:leftChars="57" w:left="137" w:rightChars="57" w:right="137"/>
            </w:pPr>
          </w:p>
          <w:p w14:paraId="13CB595B" w14:textId="3F6E5B7C" w:rsidR="00B17F00" w:rsidRPr="00B17F00" w:rsidRDefault="002A263F" w:rsidP="002A263F">
            <w:pPr>
              <w:tabs>
                <w:tab w:val="left" w:pos="0"/>
                <w:tab w:val="left" w:pos="566"/>
              </w:tabs>
              <w:spacing w:line="360" w:lineRule="auto"/>
              <w:ind w:leftChars="57" w:left="137" w:rightChars="57" w:right="137"/>
              <w:rPr>
                <w:szCs w:val="20"/>
                <w:lang w:eastAsia="en-GB"/>
              </w:rPr>
            </w:pPr>
            <w:r>
              <w:t>Ward of Horsham Parish</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360FFF73" w:rsidR="00B17F00" w:rsidRPr="00B17F00" w:rsidRDefault="002A263F" w:rsidP="00B17F00">
            <w:pPr>
              <w:tabs>
                <w:tab w:val="left" w:pos="0"/>
                <w:tab w:val="left" w:pos="566"/>
              </w:tabs>
              <w:spacing w:line="360" w:lineRule="auto"/>
              <w:ind w:leftChars="57" w:left="137" w:rightChars="57" w:right="137"/>
              <w:rPr>
                <w:szCs w:val="20"/>
                <w:lang w:eastAsia="en-GB"/>
              </w:rPr>
            </w:pPr>
            <w:r>
              <w:rPr>
                <w:szCs w:val="20"/>
                <w:lang w:eastAsia="en-GB"/>
              </w:rPr>
              <w:t>7 May 2026</w:t>
            </w: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5A11DB4D" w:rsidR="00B17F00" w:rsidRPr="00B17F00" w:rsidRDefault="002A263F" w:rsidP="00B17F00">
            <w:pPr>
              <w:keepLines/>
              <w:spacing w:before="60" w:after="60"/>
              <w:rPr>
                <w:rFonts w:cs="Arial"/>
                <w:noProof/>
                <w:color w:val="000000"/>
              </w:rPr>
            </w:pPr>
            <w:r w:rsidRPr="002A263F">
              <w:rPr>
                <w:rStyle w:val="HighlightBlack"/>
                <w:b w:val="0"/>
              </w:rPr>
              <w:t xml:space="preserve">Ward and </w:t>
            </w:r>
            <w:r w:rsidR="00960FEF" w:rsidRPr="002A263F">
              <w:rPr>
                <w:rStyle w:val="HighlightBlack"/>
                <w:b w:val="0"/>
              </w:rPr>
              <w:t>Parish</w:t>
            </w:r>
            <w:r w:rsidR="00960FEF">
              <w:rPr>
                <w:rStyle w:val="HighlightBlack"/>
                <w:b w:val="0"/>
              </w:rPr>
              <w:t xml:space="preserve"> </w:t>
            </w:r>
            <w:r w:rsidR="00B17F00" w:rsidRPr="00177BB1">
              <w:rPr>
                <w:rStyle w:val="HighlightBlack"/>
                <w:b w:val="0"/>
              </w:rPr>
              <w:t>name</w:t>
            </w:r>
            <w:r w:rsidR="00B17F00"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2BA1BB4E" w14:textId="769B6564" w:rsidR="002A263F" w:rsidRDefault="002A263F" w:rsidP="00B17F00">
            <w:pPr>
              <w:pBdr>
                <w:bottom w:val="single" w:sz="12" w:space="1" w:color="auto"/>
              </w:pBdr>
              <w:tabs>
                <w:tab w:val="left" w:pos="0"/>
                <w:tab w:val="left" w:pos="566"/>
              </w:tabs>
              <w:spacing w:line="360" w:lineRule="auto"/>
              <w:ind w:leftChars="57" w:left="137" w:rightChars="57" w:right="137"/>
            </w:pPr>
          </w:p>
          <w:p w14:paraId="450EA2D7" w14:textId="6D5C2609" w:rsidR="00B17F00" w:rsidRPr="00B17F00" w:rsidRDefault="002A263F" w:rsidP="00B17F00">
            <w:pPr>
              <w:tabs>
                <w:tab w:val="left" w:pos="0"/>
                <w:tab w:val="left" w:pos="566"/>
              </w:tabs>
              <w:spacing w:line="360" w:lineRule="auto"/>
              <w:ind w:leftChars="57" w:left="137" w:rightChars="57" w:right="137"/>
              <w:rPr>
                <w:szCs w:val="20"/>
                <w:lang w:eastAsia="en-GB"/>
              </w:rPr>
            </w:pPr>
            <w:r>
              <w:t>Ward of Horsham Parish</w:t>
            </w: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6D75A8EA" w:rsidR="00B17F00" w:rsidRPr="00B17F00" w:rsidRDefault="002A263F" w:rsidP="00B17F00">
            <w:pPr>
              <w:tabs>
                <w:tab w:val="left" w:pos="0"/>
                <w:tab w:val="left" w:pos="566"/>
              </w:tabs>
              <w:spacing w:line="360" w:lineRule="auto"/>
              <w:ind w:leftChars="57" w:left="137" w:rightChars="57" w:right="137"/>
              <w:rPr>
                <w:szCs w:val="20"/>
                <w:lang w:eastAsia="en-GB"/>
              </w:rPr>
            </w:pPr>
            <w:r>
              <w:rPr>
                <w:szCs w:val="20"/>
                <w:lang w:eastAsia="en-GB"/>
              </w:rPr>
              <w:t>7 May 2026</w:t>
            </w: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A114" w14:textId="77777777" w:rsidR="00B84CA5" w:rsidRDefault="00B84CA5">
      <w:r>
        <w:separator/>
      </w:r>
    </w:p>
  </w:endnote>
  <w:endnote w:type="continuationSeparator" w:id="0">
    <w:p w14:paraId="3D940298" w14:textId="77777777" w:rsidR="00B84CA5" w:rsidRDefault="00B84CA5">
      <w:r>
        <w:continuationSeparator/>
      </w:r>
    </w:p>
  </w:endnote>
  <w:endnote w:type="continuationNotice" w:id="1">
    <w:p w14:paraId="5CFDC6F9" w14:textId="77777777" w:rsidR="00B84CA5" w:rsidRDefault="00B8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1A7E" w14:textId="77777777" w:rsidR="00B84CA5" w:rsidRDefault="00B84CA5">
      <w:r>
        <w:separator/>
      </w:r>
    </w:p>
  </w:footnote>
  <w:footnote w:type="continuationSeparator" w:id="0">
    <w:p w14:paraId="756F4D2D" w14:textId="77777777" w:rsidR="00B84CA5" w:rsidRDefault="00B84CA5">
      <w:r>
        <w:continuationSeparator/>
      </w:r>
    </w:p>
  </w:footnote>
  <w:footnote w:type="continuationNotice" w:id="1">
    <w:p w14:paraId="340EBEC4" w14:textId="77777777" w:rsidR="00B84CA5" w:rsidRDefault="00B84CA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7D6"/>
    <w:rsid w:val="00125C6A"/>
    <w:rsid w:val="00132479"/>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85C91"/>
    <w:rsid w:val="00294ACB"/>
    <w:rsid w:val="002975F7"/>
    <w:rsid w:val="00297F8D"/>
    <w:rsid w:val="002A16F6"/>
    <w:rsid w:val="002A2003"/>
    <w:rsid w:val="002A263F"/>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B0FAE"/>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0FEF"/>
    <w:rsid w:val="009666AF"/>
    <w:rsid w:val="00967798"/>
    <w:rsid w:val="00971BFD"/>
    <w:rsid w:val="00971C59"/>
    <w:rsid w:val="009773CA"/>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2A1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0BCC"/>
    <w:rsid w:val="00AD4246"/>
    <w:rsid w:val="00AD4C34"/>
    <w:rsid w:val="00AD4C56"/>
    <w:rsid w:val="00AD51EF"/>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0A7E"/>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B7222"/>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85B61"/>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E72FD"/>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03A"/>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3.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7.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8.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8C959E75-AAF0-4CB3-9433-4ED3F4226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5100</Words>
  <Characters>25829</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30868</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Aisha.Nottage</cp:lastModifiedBy>
  <cp:revision>6</cp:revision>
  <cp:lastPrinted>2015-01-08T18:48:00Z</cp:lastPrinted>
  <dcterms:created xsi:type="dcterms:W3CDTF">2025-06-18T11:22:00Z</dcterms:created>
  <dcterms:modified xsi:type="dcterms:W3CDTF">2026-02-25T12:08:00Z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